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2D21">
        <w:rPr>
          <w:color w:val="000000"/>
          <w:sz w:val="28"/>
          <w:szCs w:val="28"/>
        </w:rPr>
        <w:t>Новое в земельном законодательстве</w:t>
      </w:r>
    </w:p>
    <w:p w:rsidR="00D22D21" w:rsidRP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D22D21" w:rsidRP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2D21">
        <w:rPr>
          <w:color w:val="000000"/>
          <w:sz w:val="28"/>
          <w:szCs w:val="28"/>
        </w:rPr>
        <w:t>В соответствии с изменениями, внесенными Федеральным законом от 04.08.2023 №430-ФЗ в Земельный кодекс Российской Федерации, лесные участки формируются в соответствии с проектной документацией, за исключением случаев их образования в целях строительства, реконструкции линейных объектов, для осуществления которых требуется подготовка документации по планировке территории.</w:t>
      </w:r>
    </w:p>
    <w:p w:rsidR="00D22D21" w:rsidRP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2D21">
        <w:rPr>
          <w:color w:val="000000"/>
          <w:sz w:val="28"/>
          <w:szCs w:val="28"/>
        </w:rPr>
        <w:t>В случае изъятия участка для государственных или муниципальных нужд при его разделе могут быть образованы один или несколько земельных участков с сохранением разделяемого земельного участка.</w:t>
      </w:r>
    </w:p>
    <w:p w:rsidR="00D22D21" w:rsidRP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2D21">
        <w:rPr>
          <w:color w:val="000000"/>
          <w:sz w:val="28"/>
          <w:szCs w:val="28"/>
        </w:rPr>
        <w:t>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участка, предназначенного для размещения объектов Единой системы газоснабжения, организации, являющейся собственником такой системы, в том числе в случае, если земельный участок предназначен для пользования недрами.</w:t>
      </w:r>
    </w:p>
    <w:p w:rsidR="00D22D21" w:rsidRP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2D21">
        <w:rPr>
          <w:color w:val="000000"/>
          <w:sz w:val="28"/>
          <w:szCs w:val="28"/>
        </w:rPr>
        <w:t>Использование участков, находящихся в государственной или муниципальной собственности, для целей размещения отдельных объектов не является препятствием для установления в отношении их сервитута или публичного сервитута для размещения таких объектов.</w:t>
      </w:r>
    </w:p>
    <w:p w:rsidR="00D22D21" w:rsidRP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2D21">
        <w:rPr>
          <w:color w:val="000000"/>
          <w:sz w:val="28"/>
          <w:szCs w:val="28"/>
        </w:rPr>
        <w:t>Расширен перечень документов, прилагаемых к заявлению об установлении публичного сервитута.</w:t>
      </w:r>
    </w:p>
    <w:p w:rsidR="00D22D21" w:rsidRP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2D21">
        <w:rPr>
          <w:color w:val="000000"/>
          <w:sz w:val="28"/>
          <w:szCs w:val="28"/>
        </w:rPr>
        <w:t>В случае, если публичный сервитут установлен в отношении участка, находящегося в государственной или муниципальной собственности и предоставленного в аренду, срок соглашения об осуществлении публичного сервитута не должен превышать срок аренды такого земельного участка.</w:t>
      </w:r>
    </w:p>
    <w:p w:rsidR="00D22D21" w:rsidRP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2D21">
        <w:rPr>
          <w:color w:val="000000"/>
          <w:sz w:val="28"/>
          <w:szCs w:val="28"/>
        </w:rPr>
        <w:t>Юридические лица, право собственности, хозяйственного ведения или оперативного управления, которых на сооружения, которые могут размещаться на участке или землях на основании публичного сервитута, возникло с 01.09.2018, вправе переоформить право постоянного (бессрочного) пользования земельным участком, право аренды земельного участка на публичный сервитут.</w:t>
      </w:r>
    </w:p>
    <w:p w:rsidR="00D22D21" w:rsidRP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2D21">
        <w:rPr>
          <w:color w:val="000000"/>
          <w:sz w:val="28"/>
          <w:szCs w:val="28"/>
        </w:rPr>
        <w:t>Определены особенности установления публичного сервитута в отношении земельных участков субъекта естественной монополии или оператора связи.</w:t>
      </w:r>
    </w:p>
    <w:p w:rsidR="00D22D21" w:rsidRPr="00D22D21" w:rsidRDefault="00D22D21" w:rsidP="00D22D2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2D21">
        <w:rPr>
          <w:color w:val="000000"/>
          <w:sz w:val="28"/>
          <w:szCs w:val="28"/>
        </w:rPr>
        <w:t>До 01.01.2025 публичный сервитут может быть установлен без предоставления правоустанавливающих документов на линейный объект на основании декларации о таком </w:t>
      </w:r>
      <w:r w:rsidRPr="00D22D21">
        <w:rPr>
          <w:sz w:val="28"/>
          <w:szCs w:val="28"/>
        </w:rPr>
        <w:t>объекте недвижимости.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C7"/>
    <w:rsid w:val="00543CC7"/>
    <w:rsid w:val="00700A92"/>
    <w:rsid w:val="00D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FE17"/>
  <w15:chartTrackingRefBased/>
  <w15:docId w15:val="{192C18CF-8E95-45EA-B602-4DAB53AB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2023-11-21T14:29:00Z</dcterms:created>
  <dcterms:modified xsi:type="dcterms:W3CDTF">2023-11-21T14:30:00Z</dcterms:modified>
</cp:coreProperties>
</file>